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left="0" w:leftChars="0" w:firstLine="0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rPr>
          <w:rFonts w:hint="eastAsia"/>
          <w:sz w:val="32"/>
          <w:szCs w:val="32"/>
        </w:rPr>
      </w:pPr>
    </w:p>
    <w:p>
      <w:pPr>
        <w:adjustRightInd w:val="0"/>
        <w:snapToGrid w:val="0"/>
        <w:spacing w:before="156" w:beforeLines="50" w:after="156" w:afterLines="50" w:line="590" w:lineRule="exact"/>
        <w:jc w:val="center"/>
        <w:outlineLvl w:val="0"/>
        <w:rPr>
          <w:rFonts w:ascii="Times New Roman" w:hAnsi="Times New Roman" w:eastAsia="方正小标宋_GBK" w:cs="方正小标宋_GBK"/>
          <w:spacing w:val="-12"/>
          <w:sz w:val="44"/>
          <w:szCs w:val="44"/>
        </w:rPr>
      </w:pPr>
      <w:r>
        <w:rPr>
          <w:rFonts w:hint="eastAsia" w:ascii="Times New Roman" w:hAnsi="Times New Roman" w:eastAsia="方正小标宋_GBK" w:cs="方正小标宋_GBK"/>
          <w:spacing w:val="-12"/>
          <w:sz w:val="44"/>
          <w:szCs w:val="44"/>
        </w:rPr>
        <w:t>关于《江苏省数据条例（草案）》（</w:t>
      </w:r>
      <w:r>
        <w:rPr>
          <w:rFonts w:hint="eastAsia" w:ascii="Times New Roman" w:hAnsi="Times New Roman" w:eastAsia="方正小标宋_GBK" w:cs="方正小标宋_GBK"/>
          <w:spacing w:val="-12"/>
          <w:sz w:val="44"/>
          <w:szCs w:val="44"/>
          <w:lang w:eastAsia="zh-CN"/>
        </w:rPr>
        <w:t>征求意见稿</w:t>
      </w:r>
      <w:r>
        <w:rPr>
          <w:rFonts w:hint="eastAsia" w:ascii="Times New Roman" w:hAnsi="Times New Roman" w:eastAsia="方正小标宋_GBK" w:cs="方正小标宋_GBK"/>
          <w:spacing w:val="-12"/>
          <w:sz w:val="44"/>
          <w:szCs w:val="44"/>
        </w:rPr>
        <w:t>）的起草说明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黑体_GBK" w:cs="方正黑体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根据《江苏省人大常委会2024年立法工作计划》</w:t>
      </w:r>
      <w:r>
        <w:rPr>
          <w:rFonts w:ascii="Times New Roman" w:hAnsi="Times New Roman" w:eastAsia="方正仿宋_GBK"/>
          <w:sz w:val="32"/>
          <w:szCs w:val="32"/>
        </w:rPr>
        <w:t>《省政府 2024年立法工作计划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》</w:t>
      </w:r>
      <w:r>
        <w:rPr>
          <w:rFonts w:hint="eastAsia" w:ascii="Times New Roman" w:hAnsi="Times New Roman" w:eastAsia="方正仿宋_GBK"/>
          <w:sz w:val="32"/>
          <w:szCs w:val="32"/>
        </w:rPr>
        <w:t>，我局起草了《江苏省数据条例（草案）》（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征求意见稿</w:t>
      </w:r>
      <w:r>
        <w:rPr>
          <w:rFonts w:hint="eastAsia" w:ascii="Times New Roman" w:hAnsi="Times New Roman" w:eastAsia="方正仿宋_GBK"/>
          <w:sz w:val="32"/>
          <w:szCs w:val="32"/>
        </w:rPr>
        <w:t>）（以下简称《条例（草案）》），有关情况如下。</w:t>
      </w:r>
    </w:p>
    <w:p>
      <w:pPr>
        <w:adjustRightInd w:val="0"/>
        <w:snapToGrid w:val="0"/>
        <w:spacing w:line="590" w:lineRule="exact"/>
        <w:ind w:firstLine="640" w:firstLineChars="200"/>
        <w:outlineLvl w:val="0"/>
        <w:rPr>
          <w:rFonts w:ascii="Times New Roman" w:hAnsi="Times New Roman" w:eastAsia="方正黑体_GBK" w:cs="方正黑体_GBK"/>
          <w:sz w:val="32"/>
          <w:szCs w:val="32"/>
        </w:rPr>
      </w:pPr>
      <w:r>
        <w:rPr>
          <w:rFonts w:hint="eastAsia" w:ascii="Times New Roman" w:hAnsi="Times New Roman" w:eastAsia="方正黑体_GBK" w:cs="方正黑体_GBK"/>
          <w:sz w:val="32"/>
          <w:szCs w:val="32"/>
        </w:rPr>
        <w:t>一</w:t>
      </w:r>
      <w:r>
        <w:rPr>
          <w:rFonts w:ascii="Times New Roman" w:hAnsi="Times New Roman" w:eastAsia="方正黑体_GBK" w:cs="方正黑体_GBK"/>
          <w:sz w:val="32"/>
          <w:szCs w:val="32"/>
        </w:rPr>
        <w:t>、</w:t>
      </w:r>
      <w:r>
        <w:rPr>
          <w:rFonts w:hint="eastAsia" w:ascii="Times New Roman" w:hAnsi="Times New Roman" w:eastAsia="方正黑体_GBK" w:cs="方正黑体_GBK"/>
          <w:sz w:val="32"/>
          <w:szCs w:val="32"/>
        </w:rPr>
        <w:t>立法必要性</w:t>
      </w:r>
    </w:p>
    <w:p>
      <w:pPr>
        <w:pStyle w:val="2"/>
        <w:ind w:firstLine="640"/>
        <w:rPr>
          <w:rFonts w:ascii="Calibri" w:hAnsi="Calibri"/>
        </w:rPr>
      </w:pPr>
      <w:r>
        <w:rPr>
          <w:rFonts w:hint="eastAsia" w:eastAsia="方正仿宋_GBK"/>
          <w:sz w:val="32"/>
          <w:szCs w:val="32"/>
        </w:rPr>
        <w:t>数据作为一种新型生产要素，已成为推动经济高质量发展的新动能。习近平总书记指出：“要构建以数据为关键要素的数字经济。”2022年12月，中</w:t>
      </w:r>
      <w:r>
        <w:rPr>
          <w:rFonts w:hint="eastAsia" w:eastAsia="方正仿宋_GBK"/>
          <w:sz w:val="32"/>
          <w:szCs w:val="32"/>
          <w:lang w:eastAsia="zh-CN"/>
        </w:rPr>
        <w:t>共</w:t>
      </w:r>
      <w:bookmarkStart w:id="0" w:name="_GoBack"/>
      <w:bookmarkEnd w:id="0"/>
      <w:r>
        <w:rPr>
          <w:rFonts w:hint="eastAsia" w:eastAsia="方正仿宋_GBK"/>
          <w:sz w:val="32"/>
          <w:szCs w:val="32"/>
        </w:rPr>
        <w:t>中央、国务院出台《关于构建更加完善的要素市场化配置体制机制的意见》，整体性构建数据基础制度，促进实现数据要素价值、释放价值红利。国家数据局、财政部等部门相继发布《“数据要素×”三年行动计划（2024—2026年）》《关于加强数据资产管理的指导意见》等文件，对数据领域重点工作做出部署。省委省政府高度重视数据工作，制定出台《关于推进数据基础制度建设更好发挥数据要素作用的实施意见》，提出“推进数据要素优质供给、高效流通、安全发展，实现数据要素市场化配置先行示范”。在此背景下，加快制定我省数据条例，将国家和省相关决策部署以立法形式贯彻落实，有利于抢占数据要素化发展先机，因地制宜培育壮大数据产业，为发展新质生产力注入数据活力。</w:t>
      </w:r>
    </w:p>
    <w:p>
      <w:pPr>
        <w:spacing w:line="59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目前，数据工作进入由战略部署向落地实施的关键阶段，聚焦</w:t>
      </w:r>
      <w:r>
        <w:rPr>
          <w:rFonts w:ascii="Times New Roman" w:hAnsi="Times New Roman" w:eastAsia="方正仿宋_GBK"/>
          <w:sz w:val="32"/>
          <w:szCs w:val="32"/>
        </w:rPr>
        <w:t>让数据</w:t>
      </w:r>
      <w:r>
        <w:rPr>
          <w:rFonts w:hint="eastAsia" w:ascii="方正仿宋_GBK" w:hAnsi="Times New Roman" w:eastAsia="方正仿宋_GBK"/>
          <w:sz w:val="32"/>
          <w:szCs w:val="32"/>
        </w:rPr>
        <w:t>“供出来、活起来、动起来”，</w:t>
      </w:r>
      <w:r>
        <w:rPr>
          <w:rFonts w:hint="eastAsia" w:ascii="Times New Roman" w:hAnsi="Times New Roman" w:eastAsia="方正仿宋_GBK"/>
          <w:sz w:val="32"/>
          <w:szCs w:val="32"/>
        </w:rPr>
        <w:t>赋能经济社会全面数字化高质量发展仍面临诸多问题和挑战。如公共数据</w:t>
      </w:r>
      <w:r>
        <w:rPr>
          <w:rFonts w:hint="eastAsia" w:ascii="方正仿宋_GBK" w:hAnsi="Times New Roman" w:eastAsia="方正仿宋_GBK"/>
          <w:sz w:val="32"/>
          <w:szCs w:val="32"/>
        </w:rPr>
        <w:t>“信息孤岛”“数据烟囱”问题</w:t>
      </w:r>
      <w:r>
        <w:rPr>
          <w:rFonts w:hint="eastAsia" w:ascii="Times New Roman" w:hAnsi="Times New Roman" w:eastAsia="方正仿宋_GBK"/>
          <w:sz w:val="32"/>
          <w:szCs w:val="32"/>
        </w:rPr>
        <w:t>突出，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尚未真正实现“应汇尽汇”，</w:t>
      </w:r>
      <w:r>
        <w:rPr>
          <w:rFonts w:hint="eastAsia" w:ascii="Times New Roman" w:hAnsi="Times New Roman" w:eastAsia="方正仿宋_GBK"/>
          <w:snapToGrid w:val="0"/>
          <w:kern w:val="0"/>
          <w:sz w:val="32"/>
          <w:szCs w:val="20"/>
        </w:rPr>
        <w:t>多头重复采集现象依然存在，数据“有、通、用”全链条尚未完全打通；数据要素市场还处于“无序生长”状态，随意收集、不当使用、违规窃取个人数据的事件频发，企业之间因数据权利不清晰引起的法律纠纷不断；公共数据授权运营、数据交易等新业态以及数据商、第三方专业服务机构等新主体加速涌现，但配套的管理规则制度仍不够健全，不利于新的经济形态和商业模式规范有序高质量发展。因此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科学立法是深化推进数据工作的关键举措，需要充分发挥立法对数据管理和发展的规范、引领和保障作用，为加快建设数实融合强省提供坚实法治保障。</w:t>
      </w:r>
    </w:p>
    <w:p>
      <w:pPr>
        <w:adjustRightInd w:val="0"/>
        <w:snapToGrid w:val="0"/>
        <w:spacing w:line="590" w:lineRule="exact"/>
        <w:ind w:firstLine="640" w:firstLineChars="200"/>
        <w:outlineLvl w:val="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二、起草过程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省数据局高度重视</w:t>
      </w:r>
      <w:r>
        <w:rPr>
          <w:rFonts w:ascii="Times New Roman" w:hAnsi="Times New Roman" w:eastAsia="方正仿宋_GBK"/>
          <w:sz w:val="32"/>
          <w:szCs w:val="32"/>
        </w:rPr>
        <w:t>《条例</w:t>
      </w:r>
      <w:r>
        <w:rPr>
          <w:rFonts w:hint="eastAsia" w:ascii="Times New Roman" w:hAnsi="Times New Roman" w:eastAsia="方正仿宋_GBK"/>
          <w:sz w:val="32"/>
          <w:szCs w:val="32"/>
        </w:rPr>
        <w:t>（草案）</w:t>
      </w:r>
      <w:r>
        <w:rPr>
          <w:rFonts w:ascii="Times New Roman" w:hAnsi="Times New Roman" w:eastAsia="方正仿宋_GBK"/>
          <w:sz w:val="32"/>
          <w:szCs w:val="32"/>
        </w:rPr>
        <w:t>》</w:t>
      </w:r>
      <w:r>
        <w:rPr>
          <w:rFonts w:hint="eastAsia" w:ascii="Times New Roman" w:hAnsi="Times New Roman" w:eastAsia="方正仿宋_GBK"/>
          <w:sz w:val="32"/>
          <w:szCs w:val="32"/>
        </w:rPr>
        <w:t>立法工作，局党组统筹领导，</w:t>
      </w:r>
      <w:r>
        <w:rPr>
          <w:rFonts w:ascii="Times New Roman" w:hAnsi="Times New Roman" w:eastAsia="方正仿宋_GBK"/>
          <w:sz w:val="32"/>
          <w:szCs w:val="32"/>
        </w:rPr>
        <w:t>成立起草工作专班</w:t>
      </w:r>
      <w:r>
        <w:rPr>
          <w:rFonts w:hint="eastAsia" w:ascii="Times New Roman" w:hAnsi="Times New Roman" w:eastAsia="方正仿宋_GBK"/>
          <w:sz w:val="32"/>
          <w:szCs w:val="32"/>
        </w:rPr>
        <w:t>，</w:t>
      </w:r>
      <w:r>
        <w:rPr>
          <w:rFonts w:ascii="Times New Roman" w:hAnsi="Times New Roman" w:eastAsia="方正仿宋_GBK"/>
          <w:sz w:val="32"/>
          <w:szCs w:val="32"/>
        </w:rPr>
        <w:t>确定专业律师事务所作为起草咨询团队</w:t>
      </w:r>
      <w:r>
        <w:rPr>
          <w:rFonts w:hint="eastAsia" w:ascii="Times New Roman" w:hAnsi="Times New Roman" w:eastAsia="方正仿宋_GBK"/>
          <w:sz w:val="32"/>
          <w:szCs w:val="32"/>
        </w:rPr>
        <w:t>，开展理论研究和立法前期调研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</w:rPr>
        <w:t>开展省内外立法调研，召开专家咨询会和企业座谈会，向省有关部门和单位、13个设区市数据管理机构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以及</w:t>
      </w:r>
      <w:r>
        <w:rPr>
          <w:rFonts w:hint="eastAsia" w:ascii="Times New Roman" w:hAnsi="Times New Roman" w:eastAsia="方正仿宋_GBK"/>
          <w:sz w:val="32"/>
          <w:szCs w:val="32"/>
        </w:rPr>
        <w:t>有关企业和单位征求意见。经反复研讨，对相关意见建议予以吸纳，形成《条例（草案）》。</w:t>
      </w:r>
    </w:p>
    <w:p>
      <w:pPr>
        <w:adjustRightInd w:val="0"/>
        <w:snapToGrid w:val="0"/>
        <w:spacing w:line="590" w:lineRule="exact"/>
        <w:ind w:firstLine="640" w:firstLineChars="200"/>
        <w:outlineLvl w:val="0"/>
        <w:rPr>
          <w:rFonts w:ascii="Times New Roman" w:hAnsi="Times New Roman" w:eastAsia="方正黑体_GBK"/>
          <w:b/>
          <w:sz w:val="32"/>
          <w:szCs w:val="32"/>
        </w:rPr>
      </w:pPr>
      <w:r>
        <w:rPr>
          <w:rFonts w:hint="eastAsia" w:ascii="Times New Roman" w:hAnsi="Times New Roman" w:eastAsia="方正黑体_GBK" w:cs="方正黑体_GBK"/>
          <w:sz w:val="32"/>
          <w:szCs w:val="32"/>
        </w:rPr>
        <w:t>三、主要内容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《条例</w:t>
      </w:r>
      <w:r>
        <w:rPr>
          <w:rFonts w:hint="eastAsia" w:ascii="Times New Roman" w:hAnsi="Times New Roman" w:eastAsia="方正仿宋_GBK"/>
          <w:sz w:val="32"/>
          <w:szCs w:val="32"/>
        </w:rPr>
        <w:t>（草案）</w:t>
      </w:r>
      <w:r>
        <w:rPr>
          <w:rFonts w:ascii="Times New Roman" w:hAnsi="Times New Roman" w:eastAsia="方正仿宋_GBK"/>
          <w:sz w:val="32"/>
          <w:szCs w:val="32"/>
        </w:rPr>
        <w:t>》共</w:t>
      </w:r>
      <w:r>
        <w:rPr>
          <w:rFonts w:hint="eastAsia" w:ascii="Times New Roman" w:hAnsi="Times New Roman" w:eastAsia="方正仿宋_GBK"/>
          <w:sz w:val="32"/>
          <w:szCs w:val="32"/>
        </w:rPr>
        <w:t>九</w:t>
      </w:r>
      <w:r>
        <w:rPr>
          <w:rFonts w:ascii="Times New Roman" w:hAnsi="Times New Roman" w:eastAsia="方正仿宋_GBK"/>
          <w:sz w:val="32"/>
          <w:szCs w:val="32"/>
        </w:rPr>
        <w:t>章</w:t>
      </w:r>
      <w:r>
        <w:rPr>
          <w:rFonts w:hint="eastAsia" w:ascii="Times New Roman" w:hAnsi="Times New Roman" w:eastAsia="方正仿宋_GBK"/>
          <w:sz w:val="32"/>
          <w:szCs w:val="32"/>
        </w:rPr>
        <w:t>七十四</w:t>
      </w:r>
      <w:r>
        <w:rPr>
          <w:rFonts w:ascii="Times New Roman" w:hAnsi="Times New Roman" w:eastAsia="方正仿宋_GBK"/>
          <w:sz w:val="32"/>
          <w:szCs w:val="32"/>
        </w:rPr>
        <w:t>条，包括</w:t>
      </w:r>
      <w:r>
        <w:rPr>
          <w:rFonts w:hint="eastAsia" w:ascii="Times New Roman" w:hAnsi="Times New Roman" w:eastAsia="方正仿宋_GBK"/>
          <w:sz w:val="32"/>
          <w:szCs w:val="32"/>
        </w:rPr>
        <w:t>总则、数据权益、数据资源、数据流通交易、数据产业、数据应用、安全与保障、法律责任、附则。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（一）关于总则。</w:t>
      </w:r>
      <w:r>
        <w:rPr>
          <w:rFonts w:hint="eastAsia" w:ascii="Times New Roman" w:hAnsi="Times New Roman" w:eastAsia="方正仿宋_GBK"/>
          <w:sz w:val="32"/>
          <w:szCs w:val="32"/>
        </w:rPr>
        <w:t>主要</w:t>
      </w:r>
      <w:r>
        <w:rPr>
          <w:rFonts w:ascii="Times New Roman" w:hAnsi="Times New Roman" w:eastAsia="方正仿宋_GBK"/>
          <w:sz w:val="32"/>
          <w:szCs w:val="32"/>
        </w:rPr>
        <w:t>明确</w:t>
      </w:r>
      <w:r>
        <w:rPr>
          <w:rFonts w:hint="eastAsia" w:ascii="Times New Roman" w:hAnsi="Times New Roman" w:eastAsia="方正仿宋_GBK"/>
          <w:sz w:val="32"/>
          <w:szCs w:val="32"/>
        </w:rPr>
        <w:t>公共数据、企业数据和个人信息数据等三类</w:t>
      </w:r>
      <w:r>
        <w:rPr>
          <w:rFonts w:ascii="Times New Roman" w:hAnsi="Times New Roman" w:eastAsia="方正仿宋_GBK"/>
          <w:sz w:val="32"/>
          <w:szCs w:val="32"/>
        </w:rPr>
        <w:t>数据</w:t>
      </w:r>
      <w:r>
        <w:rPr>
          <w:rFonts w:hint="eastAsia" w:ascii="Times New Roman" w:hAnsi="Times New Roman" w:eastAsia="方正仿宋_GBK"/>
          <w:sz w:val="32"/>
          <w:szCs w:val="32"/>
        </w:rPr>
        <w:t>的定义、</w:t>
      </w:r>
      <w:r>
        <w:rPr>
          <w:rFonts w:ascii="Times New Roman" w:hAnsi="Times New Roman" w:eastAsia="方正仿宋_GBK"/>
          <w:sz w:val="32"/>
          <w:szCs w:val="32"/>
        </w:rPr>
        <w:t>管理机制</w:t>
      </w:r>
      <w:r>
        <w:rPr>
          <w:rFonts w:hint="eastAsia" w:ascii="Times New Roman" w:hAnsi="Times New Roman" w:eastAsia="方正仿宋_GBK"/>
          <w:sz w:val="32"/>
          <w:szCs w:val="32"/>
        </w:rPr>
        <w:t>、各部门职责，以及标准建设、区域协同、先行先试</w:t>
      </w:r>
      <w:r>
        <w:rPr>
          <w:rFonts w:ascii="Times New Roman" w:hAnsi="Times New Roman" w:eastAsia="方正仿宋_GBK"/>
          <w:sz w:val="32"/>
          <w:szCs w:val="32"/>
        </w:rPr>
        <w:t>等</w:t>
      </w:r>
      <w:r>
        <w:rPr>
          <w:rFonts w:hint="eastAsia" w:ascii="Times New Roman" w:hAnsi="Times New Roman" w:eastAsia="方正仿宋_GBK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（二）关于数据</w:t>
      </w:r>
      <w:r>
        <w:rPr>
          <w:rFonts w:hint="eastAsia" w:ascii="Times New Roman" w:hAnsi="Times New Roman" w:eastAsia="方正楷体_GBK"/>
          <w:sz w:val="32"/>
          <w:szCs w:val="32"/>
        </w:rPr>
        <w:t>权益</w:t>
      </w:r>
      <w:r>
        <w:rPr>
          <w:rFonts w:ascii="Times New Roman" w:hAnsi="Times New Roman" w:eastAsia="方正楷体_GBK"/>
          <w:sz w:val="32"/>
          <w:szCs w:val="32"/>
        </w:rPr>
        <w:t>。</w:t>
      </w:r>
      <w:r>
        <w:rPr>
          <w:rFonts w:ascii="Times New Roman" w:hAnsi="Times New Roman" w:eastAsia="方正仿宋_GBK"/>
          <w:sz w:val="32"/>
          <w:szCs w:val="32"/>
        </w:rPr>
        <w:t>明确保护自然人、法人和非法人组织依法享有的</w:t>
      </w:r>
      <w:r>
        <w:rPr>
          <w:rFonts w:hint="eastAsia" w:ascii="Times New Roman" w:hAnsi="Times New Roman" w:eastAsia="方正仿宋_GBK"/>
          <w:sz w:val="32"/>
          <w:szCs w:val="32"/>
        </w:rPr>
        <w:t>数据权益，探索开展数据产权登记，并对三类数据授权使用进行规范。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（三）关于</w:t>
      </w:r>
      <w:r>
        <w:rPr>
          <w:rFonts w:hint="eastAsia" w:ascii="Times New Roman" w:hAnsi="Times New Roman" w:eastAsia="方正楷体_GBK"/>
          <w:sz w:val="32"/>
          <w:szCs w:val="32"/>
        </w:rPr>
        <w:t>数据资源</w:t>
      </w:r>
      <w:r>
        <w:rPr>
          <w:rFonts w:ascii="Times New Roman" w:hAnsi="Times New Roman" w:eastAsia="方正楷体_GBK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sz w:val="32"/>
          <w:szCs w:val="32"/>
        </w:rPr>
        <w:t>主要对三类数据资源采集、管理等活动进行规范，加强数据融合，支撑建立完善全省数据资源体系。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（四）关于</w:t>
      </w:r>
      <w:r>
        <w:rPr>
          <w:rFonts w:hint="eastAsia" w:ascii="Times New Roman" w:hAnsi="Times New Roman" w:eastAsia="方正楷体_GBK"/>
          <w:sz w:val="32"/>
          <w:szCs w:val="32"/>
        </w:rPr>
        <w:t>数据流通交易</w:t>
      </w:r>
      <w:r>
        <w:rPr>
          <w:rFonts w:ascii="Times New Roman" w:hAnsi="Times New Roman" w:eastAsia="方正楷体_GBK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sz w:val="32"/>
          <w:szCs w:val="32"/>
        </w:rPr>
        <w:t>明确公共数据开放、授权运营以及企业数据和个人信息数据流通使用规范</w:t>
      </w:r>
      <w:r>
        <w:rPr>
          <w:rFonts w:hint="eastAsia" w:ascii="Times New Roman" w:hAnsi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</w:rPr>
        <w:t>明确数据交易场所管理要求以及入场交易和禁止交易情形</w:t>
      </w:r>
      <w:r>
        <w:rPr>
          <w:rFonts w:hint="eastAsia" w:ascii="Times New Roman" w:hAnsi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</w:rPr>
        <w:t>规范数据评估定价、入表、收益分配等活动。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（五）关于</w:t>
      </w:r>
      <w:r>
        <w:rPr>
          <w:rFonts w:hint="eastAsia" w:ascii="Times New Roman" w:hAnsi="Times New Roman" w:eastAsia="方正楷体_GBK"/>
          <w:sz w:val="32"/>
          <w:szCs w:val="32"/>
        </w:rPr>
        <w:t>数据产业</w:t>
      </w:r>
      <w:r>
        <w:rPr>
          <w:rFonts w:ascii="Times New Roman" w:hAnsi="Times New Roman" w:eastAsia="方正楷体_GBK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sz w:val="32"/>
          <w:szCs w:val="32"/>
        </w:rPr>
        <w:t>提出建设数据要素产业发展载体、高水平创新平台，提出培育措施，引导做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大</w:t>
      </w:r>
      <w:r>
        <w:rPr>
          <w:rFonts w:hint="eastAsia" w:ascii="Times New Roman" w:hAnsi="Times New Roman" w:eastAsia="方正仿宋_GBK"/>
          <w:sz w:val="32"/>
          <w:szCs w:val="32"/>
        </w:rPr>
        <w:t>做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强</w:t>
      </w:r>
      <w:r>
        <w:rPr>
          <w:rFonts w:hint="eastAsia" w:ascii="Times New Roman" w:hAnsi="Times New Roman" w:eastAsia="方正仿宋_GBK"/>
          <w:sz w:val="32"/>
          <w:szCs w:val="32"/>
        </w:rPr>
        <w:t>数据产业。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</w:t>
      </w:r>
      <w:r>
        <w:rPr>
          <w:rFonts w:hint="eastAsia" w:ascii="Times New Roman" w:hAnsi="Times New Roman" w:eastAsia="方正楷体_GBK"/>
          <w:sz w:val="32"/>
          <w:szCs w:val="32"/>
        </w:rPr>
        <w:t>六</w:t>
      </w:r>
      <w:r>
        <w:rPr>
          <w:rFonts w:ascii="Times New Roman" w:hAnsi="Times New Roman" w:eastAsia="方正楷体_GBK"/>
          <w:sz w:val="32"/>
          <w:szCs w:val="32"/>
        </w:rPr>
        <w:t>）关于</w:t>
      </w:r>
      <w:r>
        <w:rPr>
          <w:rFonts w:hint="eastAsia" w:ascii="Times New Roman" w:hAnsi="Times New Roman" w:eastAsia="方正楷体_GBK"/>
          <w:sz w:val="32"/>
          <w:szCs w:val="32"/>
        </w:rPr>
        <w:t>数据应用</w:t>
      </w:r>
      <w:r>
        <w:rPr>
          <w:rFonts w:ascii="Times New Roman" w:hAnsi="Times New Roman" w:eastAsia="方正楷体_GBK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sz w:val="32"/>
          <w:szCs w:val="32"/>
        </w:rPr>
        <w:t>明确数据应用的支持方式，提出数据在工业、农业、服务业、科技创新等领域的应用场景，明确电子证照的法律效力。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</w:t>
      </w:r>
      <w:r>
        <w:rPr>
          <w:rFonts w:hint="eastAsia" w:ascii="Times New Roman" w:hAnsi="Times New Roman" w:eastAsia="方正楷体_GBK"/>
          <w:sz w:val="32"/>
          <w:szCs w:val="32"/>
        </w:rPr>
        <w:t>七</w:t>
      </w:r>
      <w:r>
        <w:rPr>
          <w:rFonts w:ascii="Times New Roman" w:hAnsi="Times New Roman" w:eastAsia="方正楷体_GBK"/>
          <w:sz w:val="32"/>
          <w:szCs w:val="32"/>
        </w:rPr>
        <w:t>）关于安全与保障。</w:t>
      </w:r>
      <w:r>
        <w:rPr>
          <w:rFonts w:hint="eastAsia" w:ascii="Times New Roman" w:hAnsi="Times New Roman" w:eastAsia="方正仿宋_GBK"/>
          <w:sz w:val="32"/>
          <w:szCs w:val="32"/>
        </w:rPr>
        <w:t>提出构建多方协同的数据安全治理模式。健全包容审慎监管、数字基础设施、资金、人才、宣传、评估激励等保障措施。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sz w:val="32"/>
          <w:szCs w:val="32"/>
        </w:rPr>
        <w:t>（</w:t>
      </w:r>
      <w:r>
        <w:rPr>
          <w:rFonts w:hint="eastAsia" w:ascii="Times New Roman" w:hAnsi="Times New Roman" w:eastAsia="方正楷体_GBK"/>
          <w:sz w:val="32"/>
          <w:szCs w:val="32"/>
        </w:rPr>
        <w:t>八</w:t>
      </w:r>
      <w:r>
        <w:rPr>
          <w:rFonts w:ascii="Times New Roman" w:hAnsi="Times New Roman" w:eastAsia="方正楷体_GBK"/>
          <w:sz w:val="32"/>
          <w:szCs w:val="32"/>
        </w:rPr>
        <w:t>）关于法律责任。</w:t>
      </w:r>
      <w:r>
        <w:rPr>
          <w:rFonts w:ascii="Times New Roman" w:hAnsi="Times New Roman" w:eastAsia="方正仿宋_GBK"/>
          <w:sz w:val="32"/>
          <w:szCs w:val="32"/>
        </w:rPr>
        <w:t>对违反义务性规范、禁止性规范的行为作出处罚规定。</w:t>
      </w:r>
    </w:p>
    <w:p>
      <w:pPr>
        <w:pStyle w:val="2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</w:t>
      </w:r>
      <w:r>
        <w:rPr>
          <w:rFonts w:hint="eastAsia" w:eastAsia="方正楷体_GBK"/>
          <w:sz w:val="32"/>
          <w:szCs w:val="32"/>
        </w:rPr>
        <w:t>九</w:t>
      </w:r>
      <w:r>
        <w:rPr>
          <w:rFonts w:eastAsia="方正楷体_GBK"/>
          <w:sz w:val="32"/>
          <w:szCs w:val="32"/>
        </w:rPr>
        <w:t>）关于附则。</w:t>
      </w:r>
      <w:r>
        <w:rPr>
          <w:rFonts w:eastAsia="方正仿宋_GBK"/>
          <w:sz w:val="32"/>
          <w:szCs w:val="32"/>
        </w:rPr>
        <w:t>明确</w:t>
      </w:r>
      <w:r>
        <w:rPr>
          <w:rFonts w:hint="eastAsia" w:eastAsia="方正仿宋_GBK"/>
          <w:sz w:val="32"/>
          <w:szCs w:val="32"/>
        </w:rPr>
        <w:t>施行日期</w:t>
      </w:r>
      <w:r>
        <w:rPr>
          <w:rFonts w:eastAsia="方正仿宋_GBK"/>
          <w:sz w:val="32"/>
          <w:szCs w:val="32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3273256-BA8A-497B-9FC4-A0F772D85F23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A2CA37B4-7310-4B62-91AA-D9E6B3B782C9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89B86CAB-B721-4105-A1B5-24DCC96E7B87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  <w:embedRegular r:id="rId4" w:fontKey="{2B945BA2-5C95-4AC3-8835-4F9FB0EFF84A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9141135C-248D-4937-A1C2-8CDAB0779A47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394AF49E-2962-4627-88ED-8E28EAD2C0C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>6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>6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TJkNTRkMDdkNWM2ODM1NDFhNTZjODA0ODUxZTYifQ=="/>
  </w:docVars>
  <w:rsids>
    <w:rsidRoot w:val="00000000"/>
    <w:rsid w:val="28E271BB"/>
    <w:rsid w:val="315B4077"/>
    <w:rsid w:val="31AB760A"/>
    <w:rsid w:val="3B3A703C"/>
    <w:rsid w:val="569E6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/>
      <w:b/>
      <w:bCs/>
      <w:kern w:val="0"/>
      <w:sz w:val="36"/>
      <w:szCs w:val="36"/>
    </w:rPr>
  </w:style>
  <w:style w:type="character" w:default="1" w:styleId="9">
    <w:name w:val="Default Paragraph Font"/>
    <w:uiPriority w:val="1"/>
  </w:style>
  <w:style w:type="table" w:default="1" w:styleId="11">
    <w:name w:val="Normal Table"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line="560" w:lineRule="exact"/>
      <w:ind w:firstLine="420" w:firstLineChars="200"/>
    </w:pPr>
  </w:style>
  <w:style w:type="paragraph" w:styleId="3">
    <w:name w:val="Body Text Indent"/>
    <w:basedOn w:val="1"/>
    <w:qFormat/>
    <w:uiPriority w:val="0"/>
    <w:rPr>
      <w:rFonts w:ascii="Times New Roman" w:hAnsi="Times New Roman"/>
    </w:rPr>
  </w:style>
  <w:style w:type="paragraph" w:styleId="5">
    <w:name w:val="Body Text"/>
    <w:basedOn w:val="1"/>
    <w:next w:val="1"/>
    <w:qFormat/>
    <w:uiPriority w:val="0"/>
    <w:rPr>
      <w:rFonts w:ascii="Times New Roman" w:hAnsi="Times New Roma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10">
    <w:name w:val="Strong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1568</Words>
  <Characters>1590</Characters>
  <Paragraphs>25</Paragraphs>
  <ScaleCrop>false</ScaleCrop>
  <LinksUpToDate>false</LinksUpToDate>
  <CharactersWithSpaces>1593</CharactersWithSpaces>
  <Application>WPS Office_10.1.0.6876_F1E327BC-269C-435d-A152-05C5408002CA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2023-12-27T13:14:00Z</dcterms:created>
  <dc:creator>11941</dc:creator>
  <cp:lastModifiedBy>admin</cp:lastModifiedBy>
  <cp:lastPrinted>2024-03-29T01:58:00Z</cp:lastPrinted>
  <dcterms:modified xsi:type="dcterms:W3CDTF">2024-04-02T02:58:53Z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  <property fmtid="{D5CDD505-2E9C-101B-9397-08002B2CF9AE}" pid="3" name="ICV">
    <vt:lpwstr>91f2e6ce544b49b5b88ed6a762f7cdc6_23</vt:lpwstr>
  </property>
</Properties>
</file>